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F7FF3" w14:textId="2628EF57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03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-200</w:t>
      </w:r>
      <w:r w:rsidR="00B9703B">
        <w:rPr>
          <w:rFonts w:cs="Arial"/>
          <w:sz w:val="22"/>
          <w:szCs w:val="28"/>
        </w:rPr>
        <w:t>xxxx</w:t>
      </w:r>
    </w:p>
    <w:p w14:paraId="759F35C4" w14:textId="13B48A13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October 26th – November </w:t>
      </w:r>
      <w:r w:rsidR="00541CAC">
        <w:rPr>
          <w:rFonts w:eastAsia="Times New Roman" w:cs="Arial"/>
          <w:bCs/>
          <w:noProof/>
          <w:sz w:val="22"/>
          <w:szCs w:val="28"/>
          <w:lang w:eastAsia="ja-JP"/>
        </w:rPr>
        <w:t>13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th, 2020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55AFBBD2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932B8" w:rsidRPr="00A059C8">
        <w:rPr>
          <w:rFonts w:ascii="Arial" w:hAnsi="Arial" w:cs="Arial"/>
          <w:bCs/>
          <w:sz w:val="22"/>
          <w:szCs w:val="22"/>
        </w:rPr>
        <w:t>LTE_NR_DC_CA_enh-Core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4BBDF1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7CAC" w:rsidRPr="00CB7CAC">
        <w:rPr>
          <w:rFonts w:ascii="Arial" w:hAnsi="Arial" w:cs="Arial"/>
          <w:bCs/>
          <w:sz w:val="22"/>
          <w:szCs w:val="22"/>
        </w:rPr>
        <w:t>Qualcomm [</w:t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  <w:r w:rsidR="00CB7CAC">
        <w:rPr>
          <w:rFonts w:ascii="Arial" w:hAnsi="Arial" w:cs="Arial"/>
          <w:sz w:val="22"/>
          <w:szCs w:val="22"/>
        </w:rPr>
        <w:t>]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69131312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3C3F5A" w:rsidRPr="003C3F5A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D54A5F">
        <w:rPr>
          <w:rFonts w:ascii="Arial" w:hAnsi="Arial" w:cs="Arial"/>
          <w:bCs/>
          <w:sz w:val="22"/>
          <w:szCs w:val="22"/>
        </w:rPr>
        <w:t>ktakeda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BDE9A3" w14:textId="77777777" w:rsidR="006E50C9" w:rsidRDefault="006E50C9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</w:p>
    <w:p w14:paraId="1BA4087A" w14:textId="60850C5B" w:rsidR="001F5587" w:rsidRDefault="00702207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R</w:t>
      </w:r>
      <w:r w:rsidR="006E50C9">
        <w:rPr>
          <w:rFonts w:eastAsiaTheme="minorEastAsia"/>
          <w:sz w:val="22"/>
          <w:szCs w:val="22"/>
        </w:rPr>
        <w:t>egarding the question on the need</w:t>
      </w:r>
      <w:r w:rsidR="00D54A5F">
        <w:rPr>
          <w:rFonts w:eastAsiaTheme="minorEastAsia"/>
          <w:sz w:val="22"/>
          <w:szCs w:val="22"/>
        </w:rPr>
        <w:t xml:space="preserve"> of cell-grouping capability for synchronous NR-DC</w:t>
      </w:r>
      <w:r>
        <w:rPr>
          <w:rFonts w:eastAsiaTheme="minorEastAsia"/>
          <w:sz w:val="22"/>
          <w:szCs w:val="22"/>
        </w:rPr>
        <w:t>,</w:t>
      </w:r>
      <w:r w:rsidR="00946FE7">
        <w:rPr>
          <w:rFonts w:eastAsiaTheme="minorEastAsia"/>
          <w:sz w:val="22"/>
          <w:szCs w:val="22"/>
        </w:rPr>
        <w:t xml:space="preserve"> </w:t>
      </w:r>
      <w:r w:rsidR="006E50C9">
        <w:rPr>
          <w:rFonts w:eastAsiaTheme="minorEastAsia"/>
          <w:sz w:val="22"/>
          <w:szCs w:val="22"/>
        </w:rPr>
        <w:t xml:space="preserve">RAN1 had no time to discuss </w:t>
      </w:r>
      <w:r>
        <w:rPr>
          <w:rFonts w:eastAsiaTheme="minorEastAsia"/>
          <w:sz w:val="22"/>
          <w:szCs w:val="22"/>
        </w:rPr>
        <w:t>i</w:t>
      </w:r>
      <w:r w:rsidR="00A52592">
        <w:rPr>
          <w:rFonts w:eastAsiaTheme="minorEastAsia"/>
          <w:sz w:val="22"/>
          <w:szCs w:val="22"/>
        </w:rPr>
        <w:t>t</w:t>
      </w:r>
      <w:r w:rsidR="00C97997">
        <w:rPr>
          <w:rFonts w:eastAsiaTheme="minorEastAsia"/>
          <w:sz w:val="22"/>
          <w:szCs w:val="22"/>
        </w:rPr>
        <w:t xml:space="preserve">. </w:t>
      </w:r>
      <w:r>
        <w:rPr>
          <w:rFonts w:eastAsiaTheme="minorEastAsia"/>
          <w:sz w:val="22"/>
          <w:szCs w:val="22"/>
        </w:rPr>
        <w:t xml:space="preserve">However, </w:t>
      </w:r>
      <w:r w:rsidR="00612834">
        <w:rPr>
          <w:rFonts w:eastAsiaTheme="minorEastAsia"/>
          <w:sz w:val="22"/>
          <w:szCs w:val="22"/>
        </w:rPr>
        <w:t xml:space="preserve">RAN1 has </w:t>
      </w:r>
      <w:r w:rsidR="00B9703B">
        <w:rPr>
          <w:rFonts w:eastAsiaTheme="minorEastAsia"/>
          <w:sz w:val="22"/>
          <w:szCs w:val="22"/>
        </w:rPr>
        <w:t>discussed the need of PUCCH-grouping capability for NR-CA with two PUCCH</w:t>
      </w:r>
      <w:r w:rsidR="00C71496">
        <w:rPr>
          <w:rFonts w:eastAsiaTheme="minorEastAsia"/>
          <w:sz w:val="22"/>
          <w:szCs w:val="22"/>
        </w:rPr>
        <w:t xml:space="preserve"> </w:t>
      </w:r>
      <w:r w:rsidR="00B9703B">
        <w:rPr>
          <w:rFonts w:eastAsiaTheme="minorEastAsia"/>
          <w:sz w:val="22"/>
          <w:szCs w:val="22"/>
        </w:rPr>
        <w:t xml:space="preserve">groups and </w:t>
      </w:r>
      <w:r w:rsidR="007A68C0">
        <w:rPr>
          <w:rFonts w:eastAsiaTheme="minorEastAsia"/>
          <w:sz w:val="22"/>
          <w:szCs w:val="22"/>
        </w:rPr>
        <w:t xml:space="preserve">agreed </w:t>
      </w:r>
      <w:r w:rsidR="0069055F">
        <w:rPr>
          <w:rFonts w:eastAsiaTheme="minorEastAsia"/>
          <w:sz w:val="22"/>
          <w:szCs w:val="22"/>
        </w:rPr>
        <w:t>to support</w:t>
      </w:r>
      <w:r w:rsidR="00A74554">
        <w:rPr>
          <w:rFonts w:eastAsiaTheme="minorEastAsia"/>
          <w:sz w:val="22"/>
          <w:szCs w:val="22"/>
        </w:rPr>
        <w:t xml:space="preserve"> the </w:t>
      </w:r>
      <w:r w:rsidR="00711938">
        <w:rPr>
          <w:rFonts w:eastAsiaTheme="minorEastAsia"/>
          <w:sz w:val="22"/>
          <w:szCs w:val="22"/>
        </w:rPr>
        <w:t xml:space="preserve">following </w:t>
      </w:r>
      <w:r w:rsidR="00A74554">
        <w:rPr>
          <w:rFonts w:eastAsiaTheme="minorEastAsia"/>
          <w:sz w:val="22"/>
          <w:szCs w:val="22"/>
        </w:rPr>
        <w:t xml:space="preserve">new Rel.16 </w:t>
      </w:r>
      <w:r w:rsidR="00C71496">
        <w:rPr>
          <w:rFonts w:eastAsiaTheme="minorEastAsia"/>
          <w:sz w:val="22"/>
          <w:szCs w:val="22"/>
        </w:rPr>
        <w:t>capabilities</w:t>
      </w:r>
      <w:bookmarkStart w:id="10" w:name="_GoBack"/>
      <w:bookmarkEnd w:id="10"/>
      <w:r w:rsidR="0035612B">
        <w:rPr>
          <w:rFonts w:eastAsiaTheme="minorEastAsia"/>
          <w:sz w:val="22"/>
          <w:szCs w:val="22"/>
        </w:rPr>
        <w:t>.</w:t>
      </w:r>
    </w:p>
    <w:p w14:paraId="613D1AC5" w14:textId="0038D934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612B" w14:paraId="769A939F" w14:textId="77777777" w:rsidTr="0035612B">
        <w:tc>
          <w:tcPr>
            <w:tcW w:w="9855" w:type="dxa"/>
          </w:tcPr>
          <w:p w14:paraId="7617EFCF" w14:textId="7A650E62" w:rsidR="00D25EB1" w:rsidRDefault="00D25EB1" w:rsidP="00D25EB1">
            <w:pPr>
              <w:spacing w:afterLines="50" w:after="120"/>
              <w:jc w:val="both"/>
              <w:rPr>
                <w:rFonts w:eastAsia="ＭＳ ゴシック"/>
                <w:sz w:val="22"/>
              </w:rPr>
            </w:pPr>
            <w:commentRangeStart w:id="11"/>
            <w:r>
              <w:rPr>
                <w:rFonts w:eastAsia="ＭＳ ゴシック" w:hint="eastAsia"/>
                <w:sz w:val="22"/>
              </w:rPr>
              <w:t>A</w:t>
            </w:r>
            <w:r>
              <w:rPr>
                <w:rFonts w:eastAsia="ＭＳ ゴシック"/>
                <w:sz w:val="22"/>
              </w:rPr>
              <w:t xml:space="preserve">lt.1: </w:t>
            </w:r>
          </w:p>
          <w:p w14:paraId="0F57D64F" w14:textId="77777777" w:rsidR="00D25EB1" w:rsidRPr="00A1104A" w:rsidRDefault="00D25EB1" w:rsidP="00D25EB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W</w:t>
            </w:r>
            <w:r w:rsidRPr="00A1104A">
              <w:rPr>
                <w:rFonts w:eastAsia="ＭＳ ゴシック"/>
                <w:sz w:val="22"/>
              </w:rPr>
              <w:t>hether to support two PUCCH groups is reported per BC for NR-CA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 xml:space="preserve"> with 3 or more </w:t>
            </w:r>
            <w:r>
              <w:rPr>
                <w:rFonts w:eastAsia="ＭＳ ゴシック"/>
                <w:color w:val="FF0000"/>
                <w:sz w:val="22"/>
                <w:u w:val="single"/>
              </w:rPr>
              <w:t xml:space="preserve">DL 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bands with at least two from {FR1 licensed TDD, [FR1 unlicensed TDD], FR1 licensed FDD, FR2}</w:t>
            </w:r>
          </w:p>
          <w:p w14:paraId="37C53CC9" w14:textId="77777777" w:rsidR="00D25EB1" w:rsidRPr="00A1104A" w:rsidRDefault="00D25EB1" w:rsidP="00D25EB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For the BC, the UE reports one or multiple of supported configuration(s) of {primary PUCCH group config, secondary PUCCH group config} where for each supported configuration,</w:t>
            </w:r>
          </w:p>
          <w:p w14:paraId="24B9CBAE" w14:textId="77777777" w:rsidR="00D25EB1" w:rsidRPr="00A1104A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“primary PUCCH group config” includes following information:</w:t>
            </w:r>
          </w:p>
          <w:p w14:paraId="06C791D4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Band(s)</w:t>
            </w:r>
            <w:r w:rsidRPr="00A1104A">
              <w:rPr>
                <w:rFonts w:eastAsia="ＭＳ ゴシック"/>
                <w:sz w:val="22"/>
              </w:rPr>
              <w:t xml:space="preserve"> mapped to the primary PUCCH group</w:t>
            </w:r>
          </w:p>
          <w:p w14:paraId="31322DA9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Band(s)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primary PUCCH group</w:t>
            </w:r>
          </w:p>
          <w:p w14:paraId="6D0E7659" w14:textId="77777777" w:rsidR="00D25EB1" w:rsidRPr="00A1104A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</w:t>
            </w:r>
            <w:r w:rsidRPr="00A1104A">
              <w:rPr>
                <w:rFonts w:eastAsia="ＭＳ ゴシック" w:hint="eastAsia"/>
                <w:sz w:val="22"/>
              </w:rPr>
              <w:t>s</w:t>
            </w:r>
            <w:r w:rsidRPr="00A1104A">
              <w:rPr>
                <w:rFonts w:eastAsia="ＭＳ ゴシック"/>
                <w:sz w:val="22"/>
              </w:rPr>
              <w:t>econdary PUCCH group config” includes following information:</w:t>
            </w:r>
          </w:p>
          <w:p w14:paraId="5EDF18E2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Band(s)</w:t>
            </w:r>
            <w:r w:rsidRPr="00A1104A">
              <w:rPr>
                <w:rFonts w:eastAsia="ＭＳ ゴシック"/>
                <w:sz w:val="22"/>
              </w:rPr>
              <w:t xml:space="preserve"> mapped to the secondary PUCCH group</w:t>
            </w:r>
          </w:p>
          <w:p w14:paraId="2FCA8D50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Band(s)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secondary PUCCH group</w:t>
            </w:r>
          </w:p>
          <w:p w14:paraId="089C0F88" w14:textId="77777777" w:rsidR="00D25EB1" w:rsidRPr="00A1104A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N</w:t>
            </w:r>
            <w:r w:rsidRPr="00A1104A">
              <w:rPr>
                <w:rFonts w:eastAsia="ＭＳ ゴシック"/>
                <w:sz w:val="22"/>
              </w:rPr>
              <w:t xml:space="preserve">ote: for each {primary PUCCH group config, secondary PUCCH group config}, 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each band</w:t>
            </w:r>
            <w:r w:rsidRPr="00A1104A">
              <w:rPr>
                <w:rFonts w:eastAsia="ＭＳ ゴシック"/>
                <w:b/>
                <w:bCs/>
                <w:sz w:val="22"/>
              </w:rPr>
              <w:t xml:space="preserve"> </w:t>
            </w:r>
            <w:r w:rsidRPr="00127E25">
              <w:rPr>
                <w:rFonts w:eastAsia="ＭＳ ゴシック"/>
                <w:b/>
                <w:bCs/>
                <w:color w:val="2F5496" w:themeColor="accent1" w:themeShade="BF"/>
                <w:sz w:val="22"/>
              </w:rPr>
              <w:t>(i.e. FDD/TDD/SUL/SDL band as defined in RAN4)</w:t>
            </w:r>
            <w:r>
              <w:rPr>
                <w:rFonts w:eastAsia="ＭＳ ゴシック"/>
                <w:b/>
                <w:bCs/>
                <w:sz w:val="22"/>
              </w:rPr>
              <w:t xml:space="preserve"> </w:t>
            </w:r>
            <w:r w:rsidRPr="00A1104A">
              <w:rPr>
                <w:rFonts w:eastAsia="ＭＳ ゴシック"/>
                <w:sz w:val="22"/>
              </w:rPr>
              <w:t>is mapped to either the primary PUCCH group config or the secondary PUCCH group config</w:t>
            </w:r>
          </w:p>
          <w:p w14:paraId="3B848B94" w14:textId="77777777" w:rsidR="00D25EB1" w:rsidRPr="00A1104A" w:rsidRDefault="00D25EB1" w:rsidP="00D25EB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 xml:space="preserve">For NR-CA 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with 2 bands with one or two from {FR1 licensed TDD, [FR1 unlicensed TDD], FR1 licensed FDD, FR2}, or with 3 or more bands with one of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: </w:t>
            </w:r>
          </w:p>
          <w:p w14:paraId="66EB8A46" w14:textId="77777777" w:rsidR="00D25EB1" w:rsidRPr="00A1104A" w:rsidRDefault="00D25EB1" w:rsidP="00D25EB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FF0000"/>
                <w:sz w:val="22"/>
                <w:u w:val="single"/>
              </w:rPr>
            </w:pP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The Rel.15 capabilities are used.</w:t>
            </w:r>
          </w:p>
          <w:p w14:paraId="272BF21C" w14:textId="77777777" w:rsidR="00D25EB1" w:rsidRPr="00D25EB1" w:rsidRDefault="00D25EB1" w:rsidP="00D25EB1">
            <w:pPr>
              <w:spacing w:afterLines="50" w:after="120"/>
              <w:jc w:val="both"/>
              <w:rPr>
                <w:rFonts w:eastAsia="ＭＳ ゴシック"/>
                <w:sz w:val="22"/>
              </w:rPr>
            </w:pPr>
          </w:p>
          <w:p w14:paraId="660C833C" w14:textId="352D553E" w:rsidR="00D25EB1" w:rsidRPr="00A1104A" w:rsidRDefault="00D25EB1" w:rsidP="00D25EB1">
            <w:pPr>
              <w:spacing w:afterLines="50" w:after="120"/>
              <w:jc w:val="both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lastRenderedPageBreak/>
              <w:t>A</w:t>
            </w:r>
            <w:r w:rsidRPr="00A1104A">
              <w:rPr>
                <w:rFonts w:eastAsia="ＭＳ ゴシック"/>
                <w:sz w:val="22"/>
              </w:rPr>
              <w:t xml:space="preserve">lt.2: </w:t>
            </w:r>
          </w:p>
          <w:p w14:paraId="091382CC" w14:textId="77777777" w:rsidR="00D25EB1" w:rsidRPr="00A1104A" w:rsidRDefault="00D25EB1" w:rsidP="00D25EB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W</w:t>
            </w:r>
            <w:r w:rsidRPr="00A1104A">
              <w:rPr>
                <w:rFonts w:eastAsia="ＭＳ ゴシック"/>
                <w:sz w:val="22"/>
              </w:rPr>
              <w:t>hether to support two PUCCH groups is reported per BC for NR-CA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 xml:space="preserve"> with 3 or more </w:t>
            </w:r>
            <w:r>
              <w:rPr>
                <w:rFonts w:eastAsia="ＭＳ ゴシック"/>
                <w:color w:val="FF0000"/>
                <w:sz w:val="22"/>
                <w:u w:val="single"/>
              </w:rPr>
              <w:t xml:space="preserve">DL 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bands with at least two from {FR1 licensed TDD, [FR1 unlicensed TDD], FR1 licensed FDD, FR2}</w:t>
            </w:r>
          </w:p>
          <w:p w14:paraId="4C8D7219" w14:textId="77777777" w:rsidR="00D25EB1" w:rsidRPr="00A1104A" w:rsidRDefault="00D25EB1" w:rsidP="00D25EB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For the BC, the UE reports one or multiple of supported configuration(s) of {primary PUCCH group config, secondary PUCCH group config} where for each supported configuration,</w:t>
            </w:r>
          </w:p>
          <w:p w14:paraId="695F0671" w14:textId="77777777" w:rsidR="00D25EB1" w:rsidRPr="00A1104A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“primary PUCCH group config” includes following information:</w:t>
            </w:r>
          </w:p>
          <w:p w14:paraId="7D870353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 mapped to the primary PUCCH group</w:t>
            </w:r>
          </w:p>
          <w:p w14:paraId="3F978508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primary PUCCH group</w:t>
            </w:r>
          </w:p>
          <w:p w14:paraId="32D763BE" w14:textId="77777777" w:rsidR="00D25EB1" w:rsidRPr="00A1104A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</w:t>
            </w:r>
            <w:r w:rsidRPr="00A1104A">
              <w:rPr>
                <w:rFonts w:eastAsia="ＭＳ ゴシック" w:hint="eastAsia"/>
                <w:sz w:val="22"/>
              </w:rPr>
              <w:t>s</w:t>
            </w:r>
            <w:r w:rsidRPr="00A1104A">
              <w:rPr>
                <w:rFonts w:eastAsia="ＭＳ ゴシック"/>
                <w:sz w:val="22"/>
              </w:rPr>
              <w:t>econdary PUCCH group config” includes following information:</w:t>
            </w:r>
          </w:p>
          <w:p w14:paraId="0C1A2FB7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 mapped to the secondary PUCCH group</w:t>
            </w:r>
          </w:p>
          <w:p w14:paraId="63A54217" w14:textId="77777777" w:rsidR="00D25EB1" w:rsidRPr="00A1104A" w:rsidRDefault="00D25EB1" w:rsidP="00D25EB1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secondary PUCCH group</w:t>
            </w:r>
          </w:p>
          <w:p w14:paraId="55E5588D" w14:textId="77777777" w:rsidR="00D25EB1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N</w:t>
            </w:r>
            <w:r w:rsidRPr="00A1104A">
              <w:rPr>
                <w:rFonts w:eastAsia="ＭＳ ゴシック"/>
                <w:sz w:val="22"/>
              </w:rPr>
              <w:t xml:space="preserve">ote: for each {primary PUCCH group config, secondary PUCCH group config}, 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each of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 is mapped to either </w:t>
            </w:r>
            <w:r w:rsidRPr="00A1104A">
              <w:rPr>
                <w:rFonts w:eastAsia="ＭＳ ゴシック"/>
                <w:color w:val="0000FF"/>
                <w:sz w:val="22"/>
                <w:u w:val="single"/>
              </w:rPr>
              <w:t xml:space="preserve">or both of </w:t>
            </w:r>
            <w:r w:rsidRPr="00A1104A">
              <w:rPr>
                <w:rFonts w:eastAsia="ＭＳ ゴシック"/>
                <w:sz w:val="22"/>
              </w:rPr>
              <w:t xml:space="preserve">the primary PUCCH group config </w:t>
            </w:r>
            <w:r w:rsidRPr="00A1104A">
              <w:rPr>
                <w:rFonts w:eastAsia="ＭＳ ゴシック"/>
                <w:strike/>
                <w:color w:val="0000FF"/>
                <w:sz w:val="22"/>
              </w:rPr>
              <w:t>or</w:t>
            </w:r>
            <w:r w:rsidRPr="00A1104A">
              <w:rPr>
                <w:rFonts w:eastAsia="ＭＳ ゴシック"/>
                <w:color w:val="0000FF"/>
                <w:sz w:val="22"/>
                <w:u w:val="single"/>
              </w:rPr>
              <w:t>and</w:t>
            </w:r>
            <w:r w:rsidRPr="00A1104A">
              <w:rPr>
                <w:rFonts w:eastAsia="ＭＳ ゴシック"/>
                <w:sz w:val="22"/>
              </w:rPr>
              <w:t xml:space="preserve"> the secondary PUCCH group config.</w:t>
            </w:r>
          </w:p>
          <w:p w14:paraId="5A82FE26" w14:textId="77777777" w:rsidR="00D25EB1" w:rsidRDefault="00D25EB1" w:rsidP="00D25EB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2F5496" w:themeColor="accent1" w:themeShade="BF"/>
                <w:sz w:val="22"/>
              </w:rPr>
            </w:pPr>
            <w:r w:rsidRPr="00EF65BC">
              <w:rPr>
                <w:rFonts w:eastAsia="ＭＳ ゴシック" w:hint="eastAsia"/>
                <w:color w:val="2F5496" w:themeColor="accent1" w:themeShade="BF"/>
                <w:sz w:val="22"/>
              </w:rPr>
              <w:t>N</w:t>
            </w:r>
            <w:r w:rsidRPr="00EF65BC">
              <w:rPr>
                <w:rFonts w:eastAsia="ＭＳ ゴシック"/>
                <w:color w:val="2F5496" w:themeColor="accent1" w:themeShade="BF"/>
                <w:sz w:val="22"/>
              </w:rPr>
              <w:t>ote: RAN1 will discuss on how to handle the SDL or SUL band</w:t>
            </w:r>
          </w:p>
          <w:p w14:paraId="6E5CEB57" w14:textId="77777777" w:rsidR="00D25EB1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2F5496" w:themeColor="accent1" w:themeShade="BF"/>
                <w:sz w:val="22"/>
              </w:rPr>
            </w:pPr>
            <w:r>
              <w:rPr>
                <w:rFonts w:eastAsia="ＭＳ ゴシック" w:hint="eastAsia"/>
                <w:color w:val="2F5496" w:themeColor="accent1" w:themeShade="BF"/>
                <w:sz w:val="22"/>
              </w:rPr>
              <w:t>S</w:t>
            </w:r>
            <w:r>
              <w:rPr>
                <w:rFonts w:eastAsia="ＭＳ ゴシック"/>
                <w:color w:val="2F5496" w:themeColor="accent1" w:themeShade="BF"/>
                <w:sz w:val="22"/>
              </w:rPr>
              <w:t>DL overlapping with either TDD or FDD can follow the same principle with TDD or FDD accordingly</w:t>
            </w:r>
          </w:p>
          <w:p w14:paraId="7DBD6C40" w14:textId="77777777" w:rsidR="00D25EB1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2F5496" w:themeColor="accent1" w:themeShade="BF"/>
                <w:sz w:val="22"/>
              </w:rPr>
            </w:pPr>
            <w:r>
              <w:rPr>
                <w:rFonts w:eastAsia="ＭＳ ゴシック" w:hint="eastAsia"/>
                <w:color w:val="2F5496" w:themeColor="accent1" w:themeShade="BF"/>
                <w:sz w:val="22"/>
              </w:rPr>
              <w:t>S</w:t>
            </w:r>
            <w:r>
              <w:rPr>
                <w:rFonts w:eastAsia="ＭＳ ゴシック"/>
                <w:color w:val="2F5496" w:themeColor="accent1" w:themeShade="BF"/>
                <w:sz w:val="22"/>
              </w:rPr>
              <w:t>DL having no overlapped TDD or FDD can follow the same principle with FDD</w:t>
            </w:r>
          </w:p>
          <w:p w14:paraId="66EED8FF" w14:textId="77777777" w:rsidR="00D25EB1" w:rsidRPr="00A9436E" w:rsidRDefault="00D25EB1" w:rsidP="00D25EB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2F5496" w:themeColor="accent1" w:themeShade="BF"/>
                <w:sz w:val="22"/>
              </w:rPr>
            </w:pPr>
            <w:r w:rsidRPr="00A9436E">
              <w:rPr>
                <w:rFonts w:eastAsia="ＭＳ ゴシック"/>
                <w:color w:val="2F5496" w:themeColor="accent1" w:themeShade="BF"/>
                <w:sz w:val="22"/>
              </w:rPr>
              <w:t xml:space="preserve">Note: </w:t>
            </w:r>
            <w:r>
              <w:rPr>
                <w:rFonts w:eastAsia="ＭＳ ゴシック"/>
                <w:color w:val="2F5496" w:themeColor="accent1" w:themeShade="BF"/>
                <w:sz w:val="22"/>
              </w:rPr>
              <w:t>W</w:t>
            </w:r>
            <w:r w:rsidRPr="00A9436E">
              <w:rPr>
                <w:rFonts w:eastAsia="ＭＳ ゴシック"/>
                <w:color w:val="2F5496" w:themeColor="accent1" w:themeShade="BF"/>
                <w:sz w:val="22"/>
              </w:rPr>
              <w:t xml:space="preserve">hen the NUL is indicated for PUCCH transmission location, corresponding SUL can also be used </w:t>
            </w:r>
            <w:r>
              <w:rPr>
                <w:rFonts w:eastAsia="ＭＳ ゴシック"/>
                <w:color w:val="2F5496" w:themeColor="accent1" w:themeShade="BF"/>
                <w:sz w:val="22"/>
              </w:rPr>
              <w:t>for PUCCH transmission</w:t>
            </w:r>
          </w:p>
          <w:p w14:paraId="752493A4" w14:textId="77777777" w:rsidR="00D25EB1" w:rsidRPr="00A1104A" w:rsidRDefault="00D25EB1" w:rsidP="00D25EB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 xml:space="preserve">For NR-CA </w:t>
            </w: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with 2 bands with one or two from {FR1 licensed TDD, [FR1 unlicensed TDD], FR1 licensed FDD, FR2}, or with 3 or more bands with one of {FR1 licensed TDD, [FR1 unlicensed TDD], FR1 licensed FDD, FR2}</w:t>
            </w:r>
            <w:r w:rsidRPr="00A1104A">
              <w:rPr>
                <w:rFonts w:eastAsia="ＭＳ ゴシック"/>
                <w:sz w:val="22"/>
              </w:rPr>
              <w:t xml:space="preserve">: </w:t>
            </w:r>
          </w:p>
          <w:p w14:paraId="3A3DF987" w14:textId="3BE0DC3F" w:rsidR="0035612B" w:rsidRPr="00D25EB1" w:rsidRDefault="00D25EB1" w:rsidP="00D25EB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 w:hint="eastAsia"/>
                <w:color w:val="FF0000"/>
                <w:sz w:val="22"/>
                <w:u w:val="single"/>
              </w:rPr>
            </w:pPr>
            <w:r w:rsidRPr="00A1104A">
              <w:rPr>
                <w:rFonts w:eastAsia="ＭＳ ゴシック"/>
                <w:color w:val="FF0000"/>
                <w:sz w:val="22"/>
                <w:u w:val="single"/>
              </w:rPr>
              <w:t>The Rel.15 capabilities are used.</w:t>
            </w:r>
            <w:commentRangeEnd w:id="11"/>
            <w:r w:rsidR="00973C57">
              <w:rPr>
                <w:rStyle w:val="CommentReference"/>
                <w:rFonts w:ascii="Arial" w:hAnsi="Arial"/>
              </w:rPr>
              <w:commentReference w:id="11"/>
            </w:r>
          </w:p>
        </w:tc>
      </w:tr>
    </w:tbl>
    <w:p w14:paraId="1FF14701" w14:textId="77777777" w:rsidR="0035612B" w:rsidRDefault="0035612B" w:rsidP="00C4450F">
      <w:pPr>
        <w:spacing w:after="0"/>
        <w:rPr>
          <w:rFonts w:eastAsiaTheme="minorEastAsia" w:hint="eastAsia"/>
          <w:sz w:val="22"/>
          <w:szCs w:val="22"/>
        </w:rPr>
      </w:pPr>
    </w:p>
    <w:p w14:paraId="5410F532" w14:textId="77777777" w:rsidR="00F80375" w:rsidRPr="006E50C9" w:rsidRDefault="00F80375" w:rsidP="00C4450F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38DA1D0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feedback </w:t>
      </w:r>
      <w:r w:rsidR="00067DAB">
        <w:rPr>
          <w:rFonts w:eastAsiaTheme="minorEastAsia"/>
          <w:sz w:val="22"/>
          <w:szCs w:val="22"/>
        </w:rPr>
        <w:t>above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067DAB">
        <w:rPr>
          <w:rFonts w:eastAsiaTheme="minorEastAsia"/>
          <w:sz w:val="22"/>
          <w:szCs w:val="22"/>
        </w:rPr>
        <w:t xml:space="preserve"> of cell-grouping capability for synchronous NR-DC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194B71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04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FB559C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15008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15008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15008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Fred TAKEDA" w:date="2020-11-03T09:58:00Z" w:initials="Fred">
    <w:p w14:paraId="4C32441F" w14:textId="6480DB11" w:rsidR="00973C57" w:rsidRPr="00973C57" w:rsidRDefault="00973C57">
      <w:pPr>
        <w:pStyle w:val="CommentText"/>
        <w:rPr>
          <w:rFonts w:eastAsiaTheme="minorEastAsia" w:hint="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is a placeholder and will be revised according to the progress under </w:t>
      </w:r>
      <w:r w:rsidR="00067DAB" w:rsidRPr="00067DAB">
        <w:rPr>
          <w:rFonts w:eastAsiaTheme="minorEastAsia"/>
        </w:rPr>
        <w:t>[103-e-NR-UEFeature-Others-01]</w:t>
      </w:r>
      <w:r w:rsidR="0030731C">
        <w:rPr>
          <w:rFonts w:eastAsiaTheme="minorEastAsia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3244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2441F" w16cid:durableId="234BA8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334C1" w14:textId="77777777" w:rsidR="00614F1D" w:rsidRDefault="00614F1D">
      <w:pPr>
        <w:spacing w:after="0"/>
      </w:pPr>
      <w:r>
        <w:separator/>
      </w:r>
    </w:p>
  </w:endnote>
  <w:endnote w:type="continuationSeparator" w:id="0">
    <w:p w14:paraId="361E7379" w14:textId="77777777" w:rsidR="00614F1D" w:rsidRDefault="00614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A28F0" w14:textId="77777777" w:rsidR="00614F1D" w:rsidRDefault="00614F1D">
      <w:pPr>
        <w:spacing w:after="0"/>
      </w:pPr>
      <w:r>
        <w:separator/>
      </w:r>
    </w:p>
  </w:footnote>
  <w:footnote w:type="continuationSeparator" w:id="0">
    <w:p w14:paraId="4CB48510" w14:textId="77777777" w:rsidR="00614F1D" w:rsidRDefault="00614F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 TAKEDA">
    <w15:presenceInfo w15:providerId="None" w15:userId="Fred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67DAB"/>
    <w:rsid w:val="000711BE"/>
    <w:rsid w:val="000759D4"/>
    <w:rsid w:val="00083FD0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18C2"/>
    <w:rsid w:val="001A365E"/>
    <w:rsid w:val="001A60BB"/>
    <w:rsid w:val="001B4A2F"/>
    <w:rsid w:val="001C250E"/>
    <w:rsid w:val="001C34E1"/>
    <w:rsid w:val="001D240A"/>
    <w:rsid w:val="001E11BD"/>
    <w:rsid w:val="001E72D4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0731C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12B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2834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55F"/>
    <w:rsid w:val="006908BD"/>
    <w:rsid w:val="00694B7A"/>
    <w:rsid w:val="00695227"/>
    <w:rsid w:val="00697C19"/>
    <w:rsid w:val="006A3FBA"/>
    <w:rsid w:val="006A77A2"/>
    <w:rsid w:val="006B1E4C"/>
    <w:rsid w:val="006B562A"/>
    <w:rsid w:val="006B5B74"/>
    <w:rsid w:val="006D23A6"/>
    <w:rsid w:val="006D4D99"/>
    <w:rsid w:val="006E3EC2"/>
    <w:rsid w:val="006E50C9"/>
    <w:rsid w:val="006E692F"/>
    <w:rsid w:val="006F24A2"/>
    <w:rsid w:val="006F3107"/>
    <w:rsid w:val="006F5E33"/>
    <w:rsid w:val="00700BEC"/>
    <w:rsid w:val="00702207"/>
    <w:rsid w:val="00711938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68C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73AA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3C57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52592"/>
    <w:rsid w:val="00A66B7F"/>
    <w:rsid w:val="00A66D94"/>
    <w:rsid w:val="00A66E83"/>
    <w:rsid w:val="00A701F5"/>
    <w:rsid w:val="00A70F2B"/>
    <w:rsid w:val="00A74554"/>
    <w:rsid w:val="00A76212"/>
    <w:rsid w:val="00A87839"/>
    <w:rsid w:val="00A92389"/>
    <w:rsid w:val="00A938E2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03B"/>
    <w:rsid w:val="00B97703"/>
    <w:rsid w:val="00BA07F5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19EE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47E5D"/>
    <w:rsid w:val="00C64BEA"/>
    <w:rsid w:val="00C665BD"/>
    <w:rsid w:val="00C70D9F"/>
    <w:rsid w:val="00C71496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97997"/>
    <w:rsid w:val="00CB1B02"/>
    <w:rsid w:val="00CB4090"/>
    <w:rsid w:val="00CB7CAC"/>
    <w:rsid w:val="00CC0DBD"/>
    <w:rsid w:val="00CC1F09"/>
    <w:rsid w:val="00CC2F12"/>
    <w:rsid w:val="00CC76CA"/>
    <w:rsid w:val="00CD3888"/>
    <w:rsid w:val="00CD3D72"/>
    <w:rsid w:val="00CD486C"/>
    <w:rsid w:val="00CD6AC5"/>
    <w:rsid w:val="00CE43BF"/>
    <w:rsid w:val="00D023DA"/>
    <w:rsid w:val="00D036B3"/>
    <w:rsid w:val="00D06FEC"/>
    <w:rsid w:val="00D07515"/>
    <w:rsid w:val="00D24970"/>
    <w:rsid w:val="00D25EB1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011"/>
    <w:rsid w:val="00E70734"/>
    <w:rsid w:val="00E72AC5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B2EDA4-4F47-4DB7-A378-FB425F392C0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61C65-45FC-479E-951F-ACA1CCFC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703</Words>
  <Characters>3544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 TAKEDA</cp:lastModifiedBy>
  <cp:revision>7</cp:revision>
  <cp:lastPrinted>2002-04-23T00:10:00Z</cp:lastPrinted>
  <dcterms:created xsi:type="dcterms:W3CDTF">2020-11-03T01:17:00Z</dcterms:created>
  <dcterms:modified xsi:type="dcterms:W3CDTF">2020-11-03T01:21:00Z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